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widowControl/>
        <w:spacing w:line="68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预拌混凝土质控先进个人评选办法</w:t>
      </w:r>
    </w:p>
    <w:p>
      <w:pPr>
        <w:widowControl/>
        <w:spacing w:line="6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预拌混凝土质量控制人员责任重大，涌现出一大批勤勉工作、甘于奉献、爱岗敬业的实验室质控工作者，为贵州省预拌混凝土行业实验室质量控制工作者树立了榜样。</w:t>
      </w:r>
    </w:p>
    <w:p>
      <w:pPr>
        <w:widowControl/>
        <w:spacing w:line="6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贵州省预拌混凝土行业协会决定在“贵州省预拌混凝土行业协会第一届第三次会员大会”开展评选“预拌混凝土质控先进个人”的活动，对表现突出的预拌混凝土企业实验室人员予以表彰。现将有关事项通知如下：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　申报资格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一）参评人员所在单位为贵州省从事预拌混凝土行业的合法企业。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（二）积极支持协会和行业的相关工作。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（三）企业无重大安全、质量等事故，企业经济效益和社会影响力较好，社会信用度好，征信无不良记录；参评人员无重大安全、质量等事故记录。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（四）参评人员需具有从业资质证（试验员证、见证取样人员证等）。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（五）从事实验室质量控制工作2年以上，需开具单位证明。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申报、初审、推荐程序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（一）企业应向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当地地州市协会申报材料，地州市协会推荐2名参评人员，未成立协会的地州市企业向省预拌混凝土行业协会秘书处</w:t>
      </w:r>
      <w:r>
        <w:rPr>
          <w:rFonts w:hint="eastAsia" w:ascii="仿宋" w:hAnsi="仿宋" w:eastAsia="仿宋" w:cs="仿宋"/>
          <w:sz w:val="32"/>
          <w:szCs w:val="32"/>
        </w:rPr>
        <w:t>提交申报材料。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（二）省协会组织有关专家对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提交申报材料的参评人员进行资料审核和评比、评选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）省协会组织行业内专家根据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情况以无记名投票的方式，确定“优秀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企业”预选单位，由协会会长办公会议最终确定评选单位。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全省推荐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核准</w:t>
      </w:r>
      <w:r>
        <w:rPr>
          <w:rFonts w:hint="eastAsia" w:ascii="仿宋" w:hAnsi="仿宋" w:eastAsia="仿宋" w:cs="仿宋"/>
          <w:b/>
          <w:sz w:val="32"/>
          <w:szCs w:val="32"/>
        </w:rPr>
        <w:t>数额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20个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申报资料（一式二份）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2016</w:t>
      </w:r>
      <w:r>
        <w:rPr>
          <w:rFonts w:hint="eastAsia" w:ascii="仿宋" w:hAnsi="仿宋" w:eastAsia="仿宋" w:cs="仿宋"/>
          <w:sz w:val="32"/>
          <w:szCs w:val="32"/>
        </w:rPr>
        <w:t>年度“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预拌混凝土质控先进个人</w:t>
      </w:r>
      <w:r>
        <w:rPr>
          <w:rFonts w:hint="eastAsia" w:ascii="仿宋" w:hAnsi="仿宋" w:eastAsia="仿宋" w:cs="仿宋"/>
          <w:sz w:val="32"/>
          <w:szCs w:val="32"/>
        </w:rPr>
        <w:t>”评选申报表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时间安排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日前将申报材料报省协会秘书处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、表彰方式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对评选出的优秀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</w:rPr>
        <w:t>企业由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贵州省预拌混凝土行业协会第一届第三次</w:t>
      </w:r>
      <w:r>
        <w:rPr>
          <w:rFonts w:hint="eastAsia" w:ascii="仿宋" w:hAnsi="仿宋" w:eastAsia="仿宋" w:cs="仿宋"/>
          <w:sz w:val="32"/>
          <w:szCs w:val="32"/>
        </w:rPr>
        <w:t>会员代表大会上进行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通报核准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年会上</w:t>
      </w:r>
      <w:r>
        <w:rPr>
          <w:rFonts w:hint="eastAsia" w:ascii="仿宋" w:hAnsi="仿宋" w:eastAsia="仿宋" w:cs="仿宋"/>
          <w:sz w:val="32"/>
          <w:szCs w:val="32"/>
        </w:rPr>
        <w:t>颁发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2016年度预拌混凝土质控先进个人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2016年度预拌混凝土质控先进个人</w:t>
      </w:r>
      <w:r>
        <w:rPr>
          <w:rFonts w:hint="eastAsia" w:ascii="黑体" w:hAnsi="黑体" w:eastAsia="黑体" w:cs="黑体"/>
          <w:sz w:val="36"/>
          <w:szCs w:val="36"/>
        </w:rPr>
        <w:t>”评选申报表</w:t>
      </w:r>
    </w:p>
    <w:p>
      <w:pPr>
        <w:jc w:val="center"/>
        <w:rPr>
          <w:rFonts w:hint="eastAsia" w:ascii="仿宋" w:hAnsi="仿宋" w:eastAsia="仿宋" w:cs="仿宋"/>
          <w:sz w:val="32"/>
        </w:rPr>
      </w:pPr>
    </w:p>
    <w:tbl>
      <w:tblPr>
        <w:tblStyle w:val="4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659"/>
        <w:gridCol w:w="820"/>
        <w:gridCol w:w="443"/>
        <w:gridCol w:w="331"/>
        <w:gridCol w:w="1323"/>
        <w:gridCol w:w="8"/>
        <w:gridCol w:w="956"/>
        <w:gridCol w:w="4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任职时间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ind w:right="-79" w:rightChars="-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称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715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715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61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地址（邮编）</w:t>
            </w:r>
          </w:p>
        </w:tc>
        <w:tc>
          <w:tcPr>
            <w:tcW w:w="761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</w:tc>
        <w:tc>
          <w:tcPr>
            <w:tcW w:w="761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业绩</w:t>
            </w:r>
          </w:p>
        </w:tc>
        <w:tc>
          <w:tcPr>
            <w:tcW w:w="7616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637" w:type="dxa"/>
            <w:gridSpan w:val="4"/>
            <w:vAlign w:val="center"/>
          </w:tcPr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签章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年  月  日</w:t>
            </w:r>
          </w:p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4694" w:type="dxa"/>
            <w:gridSpan w:val="6"/>
            <w:vAlign w:val="center"/>
          </w:tcPr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地州市行业协会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签章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年  月  日</w:t>
            </w:r>
          </w:p>
          <w:p>
            <w:pPr>
              <w:pStyle w:val="2"/>
              <w:spacing w:line="14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9331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line="140" w:lineRule="exact"/>
              <w:jc w:val="both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省行业协会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意见                </w:t>
            </w: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97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签章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年  月  日</w:t>
            </w:r>
          </w:p>
        </w:tc>
      </w:tr>
    </w:tbl>
    <w:p>
      <w:pPr>
        <w:spacing w:line="160" w:lineRule="exact"/>
        <w:rPr>
          <w:rFonts w:hint="eastAsia" w:ascii="仿宋" w:hAnsi="仿宋" w:eastAsia="仿宋" w:cs="仿宋"/>
          <w:sz w:val="28"/>
        </w:rPr>
      </w:pPr>
    </w:p>
    <w:p>
      <w:pPr>
        <w:spacing w:line="36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附单位“三证合一”复印件后</w:t>
      </w:r>
      <w:r>
        <w:rPr>
          <w:rFonts w:hint="eastAsia" w:ascii="仿宋" w:hAnsi="仿宋" w:eastAsia="仿宋" w:cs="仿宋"/>
          <w:b/>
          <w:bCs/>
          <w:sz w:val="24"/>
        </w:rPr>
        <w:t>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扫描原件或盖章扫描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省协会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；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必须附本人工作场景正面电子照片。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林城西路28号贵州省建筑设计研究院3楼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instrText xml:space="preserve"> HYPERLINK "mailto:287965825@qq.com" </w:instrTex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2939671796@qq.com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C1404"/>
    <w:rsid w:val="4ABC1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2016-12-23T02:45:00Z</dcterms:created>
  <dc:creator>Administrator</dc:creator>
  <cp:lastModifiedBy>Administrator</cp:lastModifiedBy>
  <dcterms:modified xsi:type="dcterms:W3CDTF">2016-12-23T02:47:00Z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